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F6" w:rsidRPr="005D5124" w:rsidRDefault="003460F6" w:rsidP="006D0172">
      <w:pPr>
        <w:tabs>
          <w:tab w:val="left" w:pos="930"/>
          <w:tab w:val="center" w:pos="4520"/>
        </w:tabs>
        <w:spacing w:after="12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bookmarkStart w:id="0" w:name="_GoBack"/>
      <w:r w:rsidRPr="005D5124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Developments in Money Market and Inter-bank Market (</w:t>
      </w:r>
      <w:r w:rsidR="000F1793" w:rsidRPr="005D5124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 xml:space="preserve">June </w:t>
      </w:r>
      <w:r w:rsidR="0052290C" w:rsidRPr="005D5124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16-20</w:t>
      </w:r>
      <w:r w:rsidRPr="005D5124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, 2025)</w:t>
      </w:r>
    </w:p>
    <w:bookmarkEnd w:id="0"/>
    <w:p w:rsidR="003460F6" w:rsidRPr="005D5124" w:rsidRDefault="003460F6" w:rsidP="006D0172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5D5124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1. Forex market and exchange rates</w:t>
      </w:r>
    </w:p>
    <w:p w:rsidR="003460F6" w:rsidRPr="005D5124" w:rsidRDefault="0052290C" w:rsidP="006D0172">
      <w:pPr>
        <w:tabs>
          <w:tab w:val="left" w:pos="8205"/>
        </w:tabs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On June 16</w:t>
      </w:r>
      <w:r w:rsidR="000F1793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,</w:t>
      </w:r>
      <w:r w:rsidR="003460F6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2025, the buying and selling exchange rates quoted on the website of the Joint Stock Commercial Bank for Foreign Trade of Vietnam (</w:t>
      </w:r>
      <w:proofErr w:type="spellStart"/>
      <w:r w:rsidR="003460F6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Vietcombank</w:t>
      </w:r>
      <w:proofErr w:type="spellEnd"/>
      <w:r w:rsidR="003460F6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) were at VND </w:t>
      </w:r>
      <w:r w:rsidR="0004562A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25</w:t>
      </w:r>
      <w:r w:rsidR="002F7F79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,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882</w:t>
      </w:r>
      <w:r w:rsidR="0004562A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/26</w:t>
      </w:r>
      <w:r w:rsidR="002F7F79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,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242</w:t>
      </w:r>
      <w:r w:rsidR="0004562A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3460F6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per USD, 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an increase of VND 19 per USD as compared with </w:t>
      </w:r>
      <w:r w:rsidR="003460F6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the rates of the last working da</w:t>
      </w:r>
      <w:r w:rsidR="007D01E6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y</w:t>
      </w:r>
      <w:r w:rsidR="0004562A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of the previous week (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June 13</w:t>
      </w:r>
      <w:r w:rsidR="007D01E6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, 2025). By the end of 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June 20</w:t>
      </w:r>
      <w:r w:rsidR="003460F6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, 2025, the exchange rates were quoted at VND 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25,922/26,282 </w:t>
      </w:r>
      <w:r w:rsidR="003460F6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per USD, an increase of VND 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40</w:t>
      </w:r>
      <w:r w:rsidR="003460F6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2F7F79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per </w:t>
      </w:r>
      <w:r w:rsidR="003460F6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USD as compared with the rates of 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June 16</w:t>
      </w:r>
      <w:r w:rsidR="003460F6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, 2025.</w:t>
      </w:r>
    </w:p>
    <w:p w:rsidR="003460F6" w:rsidRPr="005D5124" w:rsidRDefault="003460F6" w:rsidP="006D0172">
      <w:pPr>
        <w:tabs>
          <w:tab w:val="left" w:pos="8205"/>
        </w:tabs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5D5124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2. Inter-bank transaction operations</w:t>
      </w:r>
    </w:p>
    <w:p w:rsidR="003460F6" w:rsidRPr="005D5124" w:rsidRDefault="003460F6" w:rsidP="006D0172">
      <w:pPr>
        <w:tabs>
          <w:tab w:val="left" w:pos="8205"/>
        </w:tabs>
        <w:spacing w:after="12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</w:pPr>
      <w:r w:rsidRPr="005D5124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2.1. Transactions</w:t>
      </w:r>
    </w:p>
    <w:p w:rsidR="003460F6" w:rsidRPr="005D5124" w:rsidRDefault="003460F6" w:rsidP="006D0172">
      <w:pPr>
        <w:tabs>
          <w:tab w:val="left" w:pos="8205"/>
        </w:tabs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According to the reports submitted by the credit institutions and the foreign bank branches, the total amount of transactions in VND in the inter-bank market during the week reached approximately VND  </w:t>
      </w:r>
      <w:r w:rsidR="00D93525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2,396,518 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billion, an average of VND </w:t>
      </w:r>
      <w:r w:rsidR="00D93525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479</w:t>
      </w:r>
      <w:r w:rsidR="00472BBE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,</w:t>
      </w:r>
      <w:r w:rsidR="00D93525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304</w:t>
      </w:r>
      <w:r w:rsidR="00472BBE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billion pe</w:t>
      </w:r>
      <w:r w:rsidR="007D01E6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r </w:t>
      </w:r>
      <w:r w:rsidR="0004562A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day, a</w:t>
      </w:r>
      <w:r w:rsidR="00472BBE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n in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crease of VND </w:t>
      </w:r>
      <w:r w:rsidR="00D93525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2,857 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billion per day as compared to the previous week. Meanwhile, the transaction amount in USD was equivalent to VND </w:t>
      </w:r>
      <w:r w:rsidR="00D93525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417,627 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billion, an average of VND </w:t>
      </w:r>
      <w:r w:rsidR="00D93525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83,525 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billion per day, a</w:t>
      </w:r>
      <w:r w:rsidR="00472BBE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de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crease of VND </w:t>
      </w:r>
      <w:r w:rsidR="00D93525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19,995 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billion per day as compared to the previous week.</w:t>
      </w:r>
    </w:p>
    <w:p w:rsidR="003460F6" w:rsidRPr="005D5124" w:rsidRDefault="003460F6" w:rsidP="006D0172">
      <w:pPr>
        <w:tabs>
          <w:tab w:val="left" w:pos="8205"/>
        </w:tabs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Regarding the maturities, most VND transactions were for overnight and 1-week terms, accounting for </w:t>
      </w:r>
      <w:r w:rsidR="00472BBE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92</w:t>
      </w:r>
      <w:r w:rsidR="00D93525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% and 4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% of the total amount of transactions respectively. For USD transactions, overnight a</w:t>
      </w:r>
      <w:r w:rsidR="0004562A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nd 1-week terms accounte</w:t>
      </w:r>
      <w:r w:rsidR="00D93525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d for 80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% and</w:t>
      </w:r>
      <w:r w:rsidR="00D93525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13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% of the total amount of transactions respectively.</w:t>
      </w:r>
    </w:p>
    <w:p w:rsidR="003460F6" w:rsidRPr="005D5124" w:rsidRDefault="003460F6" w:rsidP="006D0172">
      <w:pPr>
        <w:tabs>
          <w:tab w:val="left" w:pos="8205"/>
        </w:tabs>
        <w:spacing w:after="12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</w:pPr>
      <w:r w:rsidRPr="005D5124">
        <w:rPr>
          <w:rFonts w:ascii="Arial" w:eastAsia="Arial" w:hAnsi="Arial" w:cs="Arial"/>
          <w:b/>
          <w:color w:val="000000" w:themeColor="text1"/>
          <w:sz w:val="20"/>
          <w:szCs w:val="20"/>
          <w:lang w:eastAsia="en-GB"/>
        </w:rPr>
        <w:t>2.2. Inter-bank interest rates</w:t>
      </w:r>
    </w:p>
    <w:p w:rsidR="003460F6" w:rsidRPr="005D5124" w:rsidRDefault="003460F6" w:rsidP="006D0172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</w:pP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For transactions in VND: As compared to the previous week, the average inter-bank interest rates for s</w:t>
      </w:r>
      <w:r w:rsidR="007D01E6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ome key terms experienced </w:t>
      </w:r>
      <w:r w:rsidR="005218B9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a </w:t>
      </w:r>
      <w:r w:rsidR="00E10F16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relatively strong </w:t>
      </w:r>
      <w:r w:rsidR="005218B9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down</w:t>
      </w:r>
      <w:r w:rsidR="00472BBE"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ward </w:t>
      </w: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trend as compared to the previous week</w:t>
      </w:r>
      <w:r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 Specifically, the average inter-bank interest rates for overnight</w:t>
      </w:r>
      <w:r w:rsidR="007D01E6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</w:t>
      </w:r>
      <w:r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1-week</w:t>
      </w:r>
      <w:r w:rsidR="005218B9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1-month terms de</w:t>
      </w:r>
      <w:r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creased by </w:t>
      </w:r>
      <w:r w:rsidR="005218B9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1.11</w:t>
      </w:r>
      <w:r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percentage point</w:t>
      </w:r>
      <w:r w:rsidR="002F7F79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</w:t>
      </w:r>
      <w:r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</w:t>
      </w:r>
      <w:r w:rsidR="005218B9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1.17</w:t>
      </w:r>
      <w:r w:rsidR="007D01E6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percentage points</w:t>
      </w:r>
      <w:r w:rsidR="00522FB9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</w:t>
      </w:r>
      <w:r w:rsidR="005218B9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0.51</w:t>
      </w:r>
      <w:r w:rsidR="007D01E6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percentage points</w:t>
      </w:r>
      <w:r w:rsidR="005218B9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respectively, to 2.22</w:t>
      </w:r>
      <w:r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% p.a.</w:t>
      </w:r>
      <w:r w:rsidR="005218B9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2.52</w:t>
      </w:r>
      <w:r w:rsidR="007D01E6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% p.a.</w:t>
      </w:r>
      <w:r w:rsidR="00522FB9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</w:t>
      </w:r>
      <w:r w:rsidR="007D01E6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and </w:t>
      </w:r>
      <w:r w:rsidR="005218B9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3.74</w:t>
      </w:r>
      <w:r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% p.a. respectively.</w:t>
      </w:r>
    </w:p>
    <w:p w:rsidR="005218B9" w:rsidRPr="005D5124" w:rsidRDefault="003460F6" w:rsidP="006D0172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For transactions in USD: As compared to the previous week, the average inter-bank interest rates for most terms experienced minor changes as compared to the previous week. Specifically, </w:t>
      </w:r>
      <w:r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average inter-bank interest rate for </w:t>
      </w:r>
      <w:r w:rsidR="005218B9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overnight term</w:t>
      </w:r>
      <w:r w:rsidR="00522FB9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remained unchanged at 4.29% p.a</w:t>
      </w:r>
      <w:r w:rsidR="002F7F79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  <w:r w:rsidR="005218B9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The average inter-bank interest rate for 1-week term increased by 0.01</w:t>
      </w:r>
      <w:r w:rsidR="00D50C67" w:rsidRPr="005D5124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percentage point, to 4.33% p.a. Meanwhile, the average inter-bank interest rate for 1-month term decreased by 0.01 percentage point, to 4.41% p.a.</w:t>
      </w:r>
    </w:p>
    <w:p w:rsidR="003460F6" w:rsidRPr="005D5124" w:rsidRDefault="003460F6" w:rsidP="006D0172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5D5124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The specific average inter-bank interest rates were as follows:</w:t>
      </w:r>
    </w:p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361"/>
        <w:gridCol w:w="1050"/>
        <w:gridCol w:w="1134"/>
        <w:gridCol w:w="1134"/>
        <w:gridCol w:w="1134"/>
        <w:gridCol w:w="1080"/>
        <w:gridCol w:w="1180"/>
      </w:tblGrid>
      <w:tr w:rsidR="00D50C67" w:rsidRPr="005D5124" w:rsidTr="00FB551A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F6" w:rsidRPr="005D5124" w:rsidRDefault="003460F6" w:rsidP="006D0172">
            <w:pPr>
              <w:spacing w:after="12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60F6" w:rsidRPr="005D5124" w:rsidRDefault="003460F6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Overnight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60F6" w:rsidRPr="005D5124" w:rsidRDefault="003460F6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1-week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0F6" w:rsidRPr="005D5124" w:rsidRDefault="003460F6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2-week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60F6" w:rsidRPr="005D5124" w:rsidRDefault="003460F6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1-month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60F6" w:rsidRPr="005D5124" w:rsidRDefault="003460F6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3-month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0F6" w:rsidRPr="005D5124" w:rsidRDefault="003460F6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6-month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0F6" w:rsidRPr="005D5124" w:rsidRDefault="003460F6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9-month</w:t>
            </w:r>
          </w:p>
        </w:tc>
      </w:tr>
      <w:tr w:rsidR="00D50C67" w:rsidRPr="005D5124" w:rsidTr="00FB551A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0F6" w:rsidRPr="005D5124" w:rsidRDefault="003460F6" w:rsidP="006D0172">
            <w:pPr>
              <w:spacing w:after="12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VND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0F6" w:rsidRPr="005D5124" w:rsidRDefault="00D50C67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2.22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0F6" w:rsidRPr="005D5124" w:rsidRDefault="00D50C67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hAnsi="Arial" w:cs="Arial"/>
                <w:color w:val="000000" w:themeColor="text1"/>
                <w:sz w:val="20"/>
                <w:szCs w:val="20"/>
              </w:rPr>
              <w:t>2.52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0F6" w:rsidRPr="005D5124" w:rsidRDefault="00D50C67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hAnsi="Arial" w:cs="Arial"/>
                <w:color w:val="000000" w:themeColor="text1"/>
                <w:sz w:val="20"/>
                <w:szCs w:val="20"/>
              </w:rPr>
              <w:t>3.75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0F6" w:rsidRPr="005D5124" w:rsidRDefault="00D50C67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hAnsi="Arial" w:cs="Arial"/>
                <w:color w:val="000000" w:themeColor="text1"/>
                <w:sz w:val="20"/>
                <w:szCs w:val="20"/>
              </w:rPr>
              <w:t>3.74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0F6" w:rsidRPr="005D5124" w:rsidRDefault="00D50C67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hAnsi="Arial" w:cs="Arial"/>
                <w:color w:val="000000" w:themeColor="text1"/>
                <w:sz w:val="20"/>
                <w:szCs w:val="20"/>
              </w:rPr>
              <w:t>4.48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0F6" w:rsidRPr="005D5124" w:rsidRDefault="00D50C67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hAnsi="Arial" w:cs="Arial"/>
                <w:color w:val="000000" w:themeColor="text1"/>
                <w:sz w:val="20"/>
                <w:szCs w:val="20"/>
              </w:rPr>
              <w:t>4.15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0F6" w:rsidRPr="005D5124" w:rsidRDefault="00D50C67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hAnsi="Arial" w:cs="Arial"/>
                <w:color w:val="000000" w:themeColor="text1"/>
                <w:sz w:val="20"/>
                <w:szCs w:val="20"/>
              </w:rPr>
              <w:t>5.30</w:t>
            </w:r>
          </w:p>
        </w:tc>
      </w:tr>
      <w:tr w:rsidR="00D50C67" w:rsidRPr="005D5124" w:rsidTr="00FB551A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0F6" w:rsidRPr="005D5124" w:rsidRDefault="003460F6" w:rsidP="006D0172">
            <w:pPr>
              <w:spacing w:after="12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USD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0F6" w:rsidRPr="005D5124" w:rsidRDefault="003460F6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4.29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0F6" w:rsidRPr="005D5124" w:rsidRDefault="00D50C67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hAnsi="Arial" w:cs="Arial"/>
                <w:color w:val="000000" w:themeColor="text1"/>
                <w:sz w:val="20"/>
                <w:szCs w:val="20"/>
              </w:rPr>
              <w:t>4.33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0F6" w:rsidRPr="005D5124" w:rsidRDefault="00D50C67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hAnsi="Arial" w:cs="Arial"/>
                <w:color w:val="000000" w:themeColor="text1"/>
                <w:sz w:val="20"/>
                <w:szCs w:val="20"/>
              </w:rPr>
              <w:t>4.36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0F6" w:rsidRPr="005D5124" w:rsidRDefault="00D50C67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hAnsi="Arial" w:cs="Arial"/>
                <w:color w:val="000000" w:themeColor="text1"/>
                <w:sz w:val="20"/>
                <w:szCs w:val="20"/>
              </w:rPr>
              <w:t>4.41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0F6" w:rsidRPr="005D5124" w:rsidRDefault="00D50C67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hAnsi="Arial" w:cs="Arial"/>
                <w:color w:val="000000" w:themeColor="text1"/>
                <w:sz w:val="20"/>
                <w:szCs w:val="20"/>
              </w:rPr>
              <w:t>4.47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0F6" w:rsidRPr="005D5124" w:rsidRDefault="003460F6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0F6" w:rsidRPr="005D5124" w:rsidRDefault="003460F6" w:rsidP="00D50C67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5D5124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-</w:t>
            </w:r>
          </w:p>
        </w:tc>
      </w:tr>
    </w:tbl>
    <w:p w:rsidR="002C18BB" w:rsidRPr="005D5124" w:rsidRDefault="003460F6" w:rsidP="00A1237C">
      <w:pPr>
        <w:spacing w:after="120" w:line="240" w:lineRule="auto"/>
        <w:rPr>
          <w:color w:val="000000" w:themeColor="text1"/>
          <w:sz w:val="18"/>
          <w:szCs w:val="18"/>
        </w:rPr>
      </w:pPr>
      <w:r w:rsidRPr="005D5124">
        <w:rPr>
          <w:rFonts w:ascii="Arial" w:hAnsi="Arial" w:cs="Arial"/>
          <w:b/>
          <w:i/>
          <w:color w:val="000000" w:themeColor="text1"/>
          <w:sz w:val="18"/>
          <w:szCs w:val="18"/>
        </w:rPr>
        <w:t>Translated by HY</w:t>
      </w:r>
    </w:p>
    <w:sectPr w:rsidR="002C18BB" w:rsidRPr="005D5124" w:rsidSect="004678AB">
      <w:pgSz w:w="11907" w:h="16839" w:code="9"/>
      <w:pgMar w:top="1134" w:right="1134" w:bottom="1304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F6"/>
    <w:rsid w:val="0004562A"/>
    <w:rsid w:val="00046272"/>
    <w:rsid w:val="000F1793"/>
    <w:rsid w:val="002C18BB"/>
    <w:rsid w:val="002F7F79"/>
    <w:rsid w:val="003116CB"/>
    <w:rsid w:val="00331880"/>
    <w:rsid w:val="003460F6"/>
    <w:rsid w:val="00472BBE"/>
    <w:rsid w:val="005218B9"/>
    <w:rsid w:val="0052290C"/>
    <w:rsid w:val="00522FB9"/>
    <w:rsid w:val="005D5124"/>
    <w:rsid w:val="00655414"/>
    <w:rsid w:val="006D0172"/>
    <w:rsid w:val="007D01E6"/>
    <w:rsid w:val="008D6F8A"/>
    <w:rsid w:val="00A1237C"/>
    <w:rsid w:val="00AB1952"/>
    <w:rsid w:val="00BA1466"/>
    <w:rsid w:val="00D233AB"/>
    <w:rsid w:val="00D50C67"/>
    <w:rsid w:val="00D93525"/>
    <w:rsid w:val="00E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BD7214-AFC0-47FE-ACA3-433931DB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0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6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Hai Yen (VTTh)</dc:creator>
  <cp:keywords/>
  <dc:description/>
  <cp:lastModifiedBy>Nguyen Thi Hai Yen (VTTh)</cp:lastModifiedBy>
  <cp:revision>5</cp:revision>
  <dcterms:created xsi:type="dcterms:W3CDTF">2025-06-25T10:29:00Z</dcterms:created>
  <dcterms:modified xsi:type="dcterms:W3CDTF">2025-06-26T02:09:00Z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SBV638621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613051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http://webcenter-app01:16200/cs/idcplg?IdcService=DESKTOP_DOC_INFO&amp;dDocName=SBV638621&amp;dID=613051&amp;ClientControlled=DocMan,taskpane&amp;coreContentOnly=1</vt:lpwstr>
  </property>
</Properties>
</file>