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A2" w:rsidRPr="004F3EF1" w:rsidRDefault="00F74BA2" w:rsidP="004F3EF1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F3EF1">
        <w:rPr>
          <w:rFonts w:ascii="Arial" w:eastAsia="Arial" w:hAnsi="Arial" w:cs="Arial"/>
          <w:b/>
          <w:color w:val="000000" w:themeColor="text1"/>
          <w:sz w:val="20"/>
          <w:szCs w:val="20"/>
        </w:rPr>
        <w:t>Press Relea</w:t>
      </w:r>
      <w:r w:rsidR="007962D7" w:rsidRPr="004F3EF1">
        <w:rPr>
          <w:rFonts w:ascii="Arial" w:eastAsia="Arial" w:hAnsi="Arial" w:cs="Arial"/>
          <w:b/>
          <w:color w:val="000000" w:themeColor="text1"/>
          <w:sz w:val="20"/>
          <w:szCs w:val="20"/>
        </w:rPr>
        <w:t>se on issuance of Circular No.12</w:t>
      </w:r>
      <w:r w:rsidRPr="004F3EF1">
        <w:rPr>
          <w:rFonts w:ascii="Arial" w:eastAsia="Arial" w:hAnsi="Arial" w:cs="Arial"/>
          <w:b/>
          <w:color w:val="000000" w:themeColor="text1"/>
          <w:sz w:val="20"/>
          <w:szCs w:val="20"/>
        </w:rPr>
        <w:t>/2025/TT-NHNN</w:t>
      </w:r>
    </w:p>
    <w:p w:rsidR="00E8479C" w:rsidRPr="004F3EF1" w:rsidRDefault="00F74BA2" w:rsidP="004F3EF1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Hanoi, </w:t>
      </w:r>
      <w:r w:rsidR="007962D7" w:rsidRPr="004F3EF1">
        <w:rPr>
          <w:rFonts w:ascii="Arial" w:eastAsia="Arial" w:hAnsi="Arial" w:cs="Arial"/>
          <w:color w:val="000000" w:themeColor="text1"/>
          <w:sz w:val="20"/>
          <w:szCs w:val="20"/>
        </w:rPr>
        <w:t>June 30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, 2025. The Governor of the State Bank of Vietnam (SBV) has issued Circular No.</w:t>
      </w:r>
      <w:r w:rsidRPr="004F3EF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62D7" w:rsidRPr="004F3EF1">
        <w:rPr>
          <w:rFonts w:ascii="Arial" w:eastAsia="Arial" w:hAnsi="Arial" w:cs="Arial"/>
          <w:color w:val="000000" w:themeColor="text1"/>
          <w:sz w:val="20"/>
          <w:szCs w:val="20"/>
        </w:rPr>
        <w:t>12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/2025/TT-NHNN</w:t>
      </w:r>
      <w:r w:rsidR="007962D7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amending and supplementing a number of Articles </w:t>
      </w:r>
      <w:r w:rsidR="00CC4021" w:rsidRPr="004F3EF1">
        <w:rPr>
          <w:rFonts w:ascii="Arial" w:eastAsia="Arial" w:hAnsi="Arial" w:cs="Arial"/>
          <w:color w:val="000000" w:themeColor="text1"/>
          <w:sz w:val="20"/>
          <w:szCs w:val="20"/>
        </w:rPr>
        <w:t>in the</w:t>
      </w:r>
      <w:r w:rsidR="00E8479C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C4021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relevant </w:t>
      </w:r>
      <w:r w:rsidR="00E8479C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Circulars </w:t>
      </w:r>
      <w:r w:rsidR="00815712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stipulating </w:t>
      </w:r>
      <w:r w:rsidR="0065603D" w:rsidRPr="004F3EF1">
        <w:rPr>
          <w:rFonts w:ascii="Arial" w:eastAsia="Arial" w:hAnsi="Arial" w:cs="Arial"/>
          <w:color w:val="000000" w:themeColor="text1"/>
          <w:sz w:val="20"/>
          <w:szCs w:val="20"/>
        </w:rPr>
        <w:t>the</w:t>
      </w:r>
      <w:r w:rsidR="00E8479C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required documents and procedures for </w:t>
      </w:r>
      <w:r w:rsidR="00E8479C" w:rsidRPr="004F3EF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first time issuance of licenses of commercial banks, foreign bank branches, foreign representative offices, and non-bank credit institutions.</w:t>
      </w:r>
    </w:p>
    <w:p w:rsidR="00172D1C" w:rsidRPr="004F3EF1" w:rsidRDefault="006C4AD8" w:rsidP="004F3EF1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This new Circular consists of 4 Articles,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>focusing on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: (</w:t>
      </w:r>
      <w:proofErr w:type="spellStart"/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proofErr w:type="spellEnd"/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) Amending the regulations on the requirement for submitting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the 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Certificate of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>Judicial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Record to allow individuals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to 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present their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the 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electronic version of the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>ir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Certificate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of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>Judicial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Record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>obtained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>on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the </w:t>
      </w:r>
      <w:proofErr w:type="spellStart"/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VNeID</w:t>
      </w:r>
      <w:proofErr w:type="spellEnd"/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application, or submit the electronic version when implementing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the 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administrative procedures, in acc</w:t>
      </w:r>
      <w:r w:rsidR="009A62DC" w:rsidRPr="004F3EF1">
        <w:rPr>
          <w:rFonts w:ascii="Arial" w:eastAsia="Arial" w:hAnsi="Arial" w:cs="Arial"/>
          <w:color w:val="000000" w:themeColor="text1"/>
          <w:sz w:val="20"/>
          <w:szCs w:val="20"/>
        </w:rPr>
        <w:t>ordance with Decision No. 498/QD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proofErr w:type="spellStart"/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TTg</w:t>
      </w:r>
      <w:proofErr w:type="spellEnd"/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dated June 11, 2024 of the Prime Minister; (ii) Amending and supplementing a number of substances to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be 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align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>ed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with the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new 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organizational structure, functions, and tasks of the SBV entities after the reorganization as prescribed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for 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in Decree No. 26/2025/ND-CP dated February 24, 2025 of the Government stipulating the functions, tasks, mandates and organizational structure of the SBV; (iii) Supplementing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the 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procedures for online submi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>ssion of the relevant documents for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a number of administrative procedures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The 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specific</w:t>
      </w:r>
      <w:r w:rsidR="00706EED"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Articles are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 as follows:</w:t>
      </w:r>
    </w:p>
    <w:p w:rsidR="009A62DC" w:rsidRPr="004F3EF1" w:rsidRDefault="009A62DC" w:rsidP="004F3EF1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Article 1: A</w:t>
      </w:r>
      <w:r w:rsidRPr="004F3EF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mending and supplementing a number of Articles of Circular No. 56/2024/TT-NHNN dated December 24, 2024 of the SBV Governor 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stipulating the required documents and procedures for </w:t>
      </w:r>
      <w:r w:rsidRPr="004F3EF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first time issuance of licenses of commercial banks, foreign bank branches, </w:t>
      </w:r>
      <w:proofErr w:type="gramStart"/>
      <w:r w:rsidRPr="004F3EF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foreign</w:t>
      </w:r>
      <w:proofErr w:type="gramEnd"/>
      <w:r w:rsidRPr="004F3EF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representative offices. </w:t>
      </w:r>
    </w:p>
    <w:p w:rsidR="009A62DC" w:rsidRPr="004F3EF1" w:rsidRDefault="009A62DC" w:rsidP="004F3EF1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>Article 2: A</w:t>
      </w:r>
      <w:r w:rsidRPr="004F3EF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mending and supplementing a number of Articles of Circular No. 57/2024/TT-NHNN dated December 24, 2024 of the SBV Governor </w:t>
      </w: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stipulating the required documents and procedures for </w:t>
      </w:r>
      <w:r w:rsidRPr="004F3EF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first time issuance of licenses of non-bank credit institutions.</w:t>
      </w:r>
    </w:p>
    <w:p w:rsidR="009A62DC" w:rsidRPr="004F3EF1" w:rsidRDefault="009A62DC" w:rsidP="004F3EF1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F3EF1">
        <w:rPr>
          <w:rFonts w:ascii="Arial" w:eastAsia="Arial" w:hAnsi="Arial" w:cs="Arial"/>
          <w:color w:val="000000" w:themeColor="text1"/>
          <w:sz w:val="20"/>
          <w:szCs w:val="20"/>
        </w:rPr>
        <w:t xml:space="preserve">Article 3: </w:t>
      </w:r>
      <w:r w:rsidRPr="004F3EF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Responsibilities for the implementation.</w:t>
      </w:r>
    </w:p>
    <w:p w:rsidR="009A62DC" w:rsidRPr="004F3EF1" w:rsidRDefault="009A62DC" w:rsidP="004F3EF1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3EF1">
        <w:rPr>
          <w:rFonts w:ascii="Arial" w:hAnsi="Arial" w:cs="Arial"/>
          <w:color w:val="000000" w:themeColor="text1"/>
          <w:sz w:val="20"/>
          <w:szCs w:val="20"/>
        </w:rPr>
        <w:t>Article 4: Entry into force.</w:t>
      </w:r>
    </w:p>
    <w:p w:rsidR="009A62DC" w:rsidRPr="004F3EF1" w:rsidRDefault="009A62DC" w:rsidP="004F3EF1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3EF1">
        <w:rPr>
          <w:rFonts w:ascii="Arial" w:hAnsi="Arial" w:cs="Arial"/>
          <w:color w:val="000000" w:themeColor="text1"/>
          <w:sz w:val="20"/>
          <w:szCs w:val="20"/>
        </w:rPr>
        <w:t>The new Circular enters into force on August 14, 2025.</w:t>
      </w:r>
    </w:p>
    <w:p w:rsidR="007962D7" w:rsidRPr="00681EA3" w:rsidRDefault="009A62DC" w:rsidP="00681EA3">
      <w:pPr>
        <w:spacing w:line="240" w:lineRule="auto"/>
        <w:jc w:val="both"/>
        <w:rPr>
          <w:rFonts w:ascii="Arial" w:eastAsia="Arial" w:hAnsi="Arial" w:cs="Arial"/>
          <w:b/>
          <w:i/>
          <w:color w:val="000000" w:themeColor="text1"/>
          <w:sz w:val="18"/>
          <w:szCs w:val="18"/>
        </w:rPr>
      </w:pPr>
      <w:r w:rsidRPr="004F3EF1">
        <w:rPr>
          <w:rFonts w:ascii="Arial" w:hAnsi="Arial" w:cs="Arial"/>
          <w:b/>
          <w:i/>
          <w:color w:val="000000" w:themeColor="text1"/>
          <w:sz w:val="18"/>
          <w:szCs w:val="18"/>
        </w:rPr>
        <w:t>HY</w:t>
      </w:r>
      <w:bookmarkStart w:id="0" w:name="_GoBack"/>
      <w:bookmarkEnd w:id="0"/>
    </w:p>
    <w:sectPr w:rsidR="007962D7" w:rsidRPr="00681EA3" w:rsidSect="00733BE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B72A9"/>
    <w:multiLevelType w:val="hybridMultilevel"/>
    <w:tmpl w:val="460CA278"/>
    <w:lvl w:ilvl="0" w:tplc="464411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CC5421"/>
    <w:multiLevelType w:val="hybridMultilevel"/>
    <w:tmpl w:val="17F2FF46"/>
    <w:lvl w:ilvl="0" w:tplc="D9D08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DB764D"/>
    <w:multiLevelType w:val="multilevel"/>
    <w:tmpl w:val="6274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C2"/>
    <w:rsid w:val="000427D1"/>
    <w:rsid w:val="0005470B"/>
    <w:rsid w:val="00062A00"/>
    <w:rsid w:val="0006780F"/>
    <w:rsid w:val="000712C7"/>
    <w:rsid w:val="000815FD"/>
    <w:rsid w:val="00084382"/>
    <w:rsid w:val="000844E4"/>
    <w:rsid w:val="00085649"/>
    <w:rsid w:val="000A5A72"/>
    <w:rsid w:val="000B2C2E"/>
    <w:rsid w:val="000C6F76"/>
    <w:rsid w:val="000F5E18"/>
    <w:rsid w:val="0013154D"/>
    <w:rsid w:val="00135CA1"/>
    <w:rsid w:val="00153EC1"/>
    <w:rsid w:val="0015467B"/>
    <w:rsid w:val="00161C3D"/>
    <w:rsid w:val="00172D1C"/>
    <w:rsid w:val="00192135"/>
    <w:rsid w:val="001C442A"/>
    <w:rsid w:val="001F3494"/>
    <w:rsid w:val="001F53BD"/>
    <w:rsid w:val="002136BA"/>
    <w:rsid w:val="00214724"/>
    <w:rsid w:val="00223667"/>
    <w:rsid w:val="0026796B"/>
    <w:rsid w:val="002A4BF3"/>
    <w:rsid w:val="002A5874"/>
    <w:rsid w:val="002A7788"/>
    <w:rsid w:val="002C359D"/>
    <w:rsid w:val="002F3DDD"/>
    <w:rsid w:val="00302859"/>
    <w:rsid w:val="00314CC9"/>
    <w:rsid w:val="0032325A"/>
    <w:rsid w:val="003247FB"/>
    <w:rsid w:val="00332FA3"/>
    <w:rsid w:val="00347005"/>
    <w:rsid w:val="003536BB"/>
    <w:rsid w:val="00384C57"/>
    <w:rsid w:val="00391B7B"/>
    <w:rsid w:val="00396C16"/>
    <w:rsid w:val="003A6AFA"/>
    <w:rsid w:val="003B3A20"/>
    <w:rsid w:val="003C61C4"/>
    <w:rsid w:val="003D00B0"/>
    <w:rsid w:val="003D4ACA"/>
    <w:rsid w:val="003D625B"/>
    <w:rsid w:val="003E3801"/>
    <w:rsid w:val="003F31B2"/>
    <w:rsid w:val="0040197B"/>
    <w:rsid w:val="0042781B"/>
    <w:rsid w:val="0044741D"/>
    <w:rsid w:val="00450114"/>
    <w:rsid w:val="004622EB"/>
    <w:rsid w:val="004B390E"/>
    <w:rsid w:val="004C55A9"/>
    <w:rsid w:val="004D7CAB"/>
    <w:rsid w:val="004F2026"/>
    <w:rsid w:val="004F375C"/>
    <w:rsid w:val="004F3EF1"/>
    <w:rsid w:val="005127DE"/>
    <w:rsid w:val="005139CA"/>
    <w:rsid w:val="005212D7"/>
    <w:rsid w:val="00523276"/>
    <w:rsid w:val="00556F49"/>
    <w:rsid w:val="00560B9C"/>
    <w:rsid w:val="00572442"/>
    <w:rsid w:val="005763FD"/>
    <w:rsid w:val="00592403"/>
    <w:rsid w:val="005B37F5"/>
    <w:rsid w:val="005C5E56"/>
    <w:rsid w:val="005C7A4A"/>
    <w:rsid w:val="005F5BA4"/>
    <w:rsid w:val="006025CA"/>
    <w:rsid w:val="00605207"/>
    <w:rsid w:val="00605EA5"/>
    <w:rsid w:val="006173C9"/>
    <w:rsid w:val="00640555"/>
    <w:rsid w:val="00651DB6"/>
    <w:rsid w:val="00652C9B"/>
    <w:rsid w:val="00653104"/>
    <w:rsid w:val="006535BB"/>
    <w:rsid w:val="0065603D"/>
    <w:rsid w:val="006636A2"/>
    <w:rsid w:val="006703B6"/>
    <w:rsid w:val="0067339C"/>
    <w:rsid w:val="00681EA3"/>
    <w:rsid w:val="006A3942"/>
    <w:rsid w:val="006C45A7"/>
    <w:rsid w:val="006C4AD8"/>
    <w:rsid w:val="006D759B"/>
    <w:rsid w:val="006E2D0E"/>
    <w:rsid w:val="006E41AA"/>
    <w:rsid w:val="007047F8"/>
    <w:rsid w:val="007064ED"/>
    <w:rsid w:val="00706EED"/>
    <w:rsid w:val="00733BE0"/>
    <w:rsid w:val="00742005"/>
    <w:rsid w:val="007601C3"/>
    <w:rsid w:val="007602DD"/>
    <w:rsid w:val="00764FF7"/>
    <w:rsid w:val="00765547"/>
    <w:rsid w:val="00793714"/>
    <w:rsid w:val="00794271"/>
    <w:rsid w:val="007962D7"/>
    <w:rsid w:val="007A3000"/>
    <w:rsid w:val="007A4577"/>
    <w:rsid w:val="007C5281"/>
    <w:rsid w:val="007C551A"/>
    <w:rsid w:val="007E6967"/>
    <w:rsid w:val="007F06EF"/>
    <w:rsid w:val="00800AFB"/>
    <w:rsid w:val="00802E17"/>
    <w:rsid w:val="008056FE"/>
    <w:rsid w:val="00815712"/>
    <w:rsid w:val="00822D1F"/>
    <w:rsid w:val="00822FDF"/>
    <w:rsid w:val="008261E3"/>
    <w:rsid w:val="00837C34"/>
    <w:rsid w:val="008456DE"/>
    <w:rsid w:val="00846D46"/>
    <w:rsid w:val="00852DBE"/>
    <w:rsid w:val="008542C9"/>
    <w:rsid w:val="00856D28"/>
    <w:rsid w:val="008861AF"/>
    <w:rsid w:val="00897626"/>
    <w:rsid w:val="008B65D9"/>
    <w:rsid w:val="008D49CB"/>
    <w:rsid w:val="008F026D"/>
    <w:rsid w:val="008F2921"/>
    <w:rsid w:val="008F46C6"/>
    <w:rsid w:val="00931C80"/>
    <w:rsid w:val="00950121"/>
    <w:rsid w:val="00956410"/>
    <w:rsid w:val="0097644F"/>
    <w:rsid w:val="00984B14"/>
    <w:rsid w:val="009A62DC"/>
    <w:rsid w:val="009B5DEF"/>
    <w:rsid w:val="009D5B25"/>
    <w:rsid w:val="00A01E37"/>
    <w:rsid w:val="00A17400"/>
    <w:rsid w:val="00A42703"/>
    <w:rsid w:val="00A4274B"/>
    <w:rsid w:val="00A50AC4"/>
    <w:rsid w:val="00A512C9"/>
    <w:rsid w:val="00A5368B"/>
    <w:rsid w:val="00A650C0"/>
    <w:rsid w:val="00AA4051"/>
    <w:rsid w:val="00AB4D6A"/>
    <w:rsid w:val="00AB64FB"/>
    <w:rsid w:val="00AF29F3"/>
    <w:rsid w:val="00AF33D4"/>
    <w:rsid w:val="00AF7FB9"/>
    <w:rsid w:val="00B00CD8"/>
    <w:rsid w:val="00B03911"/>
    <w:rsid w:val="00BA5729"/>
    <w:rsid w:val="00BB07F0"/>
    <w:rsid w:val="00BB2F80"/>
    <w:rsid w:val="00C01BA8"/>
    <w:rsid w:val="00C3566E"/>
    <w:rsid w:val="00C35BFC"/>
    <w:rsid w:val="00C4183F"/>
    <w:rsid w:val="00C54B8F"/>
    <w:rsid w:val="00C63106"/>
    <w:rsid w:val="00C73D0E"/>
    <w:rsid w:val="00C9312B"/>
    <w:rsid w:val="00CB56CB"/>
    <w:rsid w:val="00CC0268"/>
    <w:rsid w:val="00CC4021"/>
    <w:rsid w:val="00CC58ED"/>
    <w:rsid w:val="00CE7723"/>
    <w:rsid w:val="00CF2B87"/>
    <w:rsid w:val="00CF6412"/>
    <w:rsid w:val="00CF78C2"/>
    <w:rsid w:val="00D0326D"/>
    <w:rsid w:val="00D05499"/>
    <w:rsid w:val="00D256ED"/>
    <w:rsid w:val="00D410AE"/>
    <w:rsid w:val="00D455AE"/>
    <w:rsid w:val="00D52F22"/>
    <w:rsid w:val="00D53842"/>
    <w:rsid w:val="00D95ADF"/>
    <w:rsid w:val="00D96152"/>
    <w:rsid w:val="00DA64E6"/>
    <w:rsid w:val="00DB5A4C"/>
    <w:rsid w:val="00DC056B"/>
    <w:rsid w:val="00DD3A30"/>
    <w:rsid w:val="00DE67C6"/>
    <w:rsid w:val="00E07EB9"/>
    <w:rsid w:val="00E10027"/>
    <w:rsid w:val="00E21CF6"/>
    <w:rsid w:val="00E31209"/>
    <w:rsid w:val="00E3587C"/>
    <w:rsid w:val="00E71F85"/>
    <w:rsid w:val="00E82E4C"/>
    <w:rsid w:val="00E8479C"/>
    <w:rsid w:val="00E84AF6"/>
    <w:rsid w:val="00EA0E13"/>
    <w:rsid w:val="00EA798A"/>
    <w:rsid w:val="00F11B4A"/>
    <w:rsid w:val="00F138F0"/>
    <w:rsid w:val="00F26F3B"/>
    <w:rsid w:val="00F36237"/>
    <w:rsid w:val="00F413BE"/>
    <w:rsid w:val="00F54084"/>
    <w:rsid w:val="00F600E7"/>
    <w:rsid w:val="00F62A24"/>
    <w:rsid w:val="00F74BA2"/>
    <w:rsid w:val="00F87F6E"/>
    <w:rsid w:val="00FA24F4"/>
    <w:rsid w:val="00FC5B36"/>
    <w:rsid w:val="00FD0713"/>
    <w:rsid w:val="00F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4F2D8-E590-4329-B361-C0C8E08F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A4A"/>
    <w:pPr>
      <w:ind w:left="720"/>
      <w:contextualSpacing/>
    </w:pPr>
  </w:style>
  <w:style w:type="paragraph" w:styleId="NormalWeb">
    <w:name w:val="Normal (Web)"/>
    <w:basedOn w:val="Normal"/>
    <w:uiPriority w:val="99"/>
    <w:rsid w:val="008B65D9"/>
    <w:pPr>
      <w:spacing w:before="100" w:beforeAutospacing="1" w:after="100" w:afterAutospacing="1" w:line="240" w:lineRule="auto"/>
    </w:pPr>
    <w:rPr>
      <w:rFonts w:eastAsia="MS Mincho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7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01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styles.xml" Type="http://schemas.openxmlformats.org/officeDocument/2006/relationships/styles" Id="rId3"></Relationship><Relationship Target="theme/theme1.xml" Type="http://schemas.openxmlformats.org/officeDocument/2006/relationships/theme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ntTable.xml" Type="http://schemas.openxmlformats.org/officeDocument/2006/relationships/fontTable" Id="rId6"></Relationship><Relationship Target="webSettings.xml" Type="http://schemas.openxmlformats.org/officeDocument/2006/relationships/webSettings" Id="rId5"></Relationship><Relationship Target="settings.xml" Type="http://schemas.openxmlformats.org/officeDocument/2006/relationships/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9C63-6F9F-47BB-9274-85B0FE4C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nhiha</dc:creator>
  <cp:lastModifiedBy>Nguyen Thi Hai Yen (VTTh)</cp:lastModifiedBy>
  <cp:revision>9</cp:revision>
  <cp:lastPrinted>2025-06-06T10:37:00Z</cp:lastPrinted>
  <dcterms:created xsi:type="dcterms:W3CDTF">2025-07-04T04:21:00Z</dcterms:created>
  <dcterms:modified xsi:type="dcterms:W3CDTF">2025-07-04T09:44:00Z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SBV638685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613646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http://webcenter-app01:16200/cs/idcplg?IdcService=DESKTOP_DOC_INFO&amp;dDocName=SBV638685&amp;dID=613646&amp;ClientControlled=DocMan,taskpane&amp;coreContentOnly=1</vt:lpwstr>
  </property>
</Properties>
</file>